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ABBB1" w14:textId="427C1301" w:rsidR="00AC37D2" w:rsidRPr="00AC37D2" w:rsidRDefault="00AC37D2" w:rsidP="00AC37D2">
      <w:pPr>
        <w:tabs>
          <w:tab w:val="left" w:pos="8647"/>
        </w:tabs>
        <w:ind w:left="-284" w:firstLine="284"/>
        <w:jc w:val="center"/>
        <w:rPr>
          <w:rFonts w:ascii="Verdana" w:hAnsi="Verdana"/>
          <w:b/>
          <w:bCs/>
          <w:sz w:val="32"/>
          <w:szCs w:val="32"/>
        </w:rPr>
      </w:pPr>
      <w:r w:rsidRPr="00AC37D2">
        <w:rPr>
          <w:rFonts w:ascii="Verdana" w:hAnsi="Verdana"/>
          <w:b/>
          <w:bCs/>
          <w:sz w:val="32"/>
          <w:szCs w:val="32"/>
        </w:rPr>
        <w:t xml:space="preserve">Encuesta breve de enfoque de género </w:t>
      </w:r>
      <w:r>
        <w:rPr>
          <w:rFonts w:ascii="Verdana" w:hAnsi="Verdana"/>
          <w:b/>
          <w:bCs/>
          <w:sz w:val="32"/>
          <w:szCs w:val="32"/>
        </w:rPr>
        <w:t xml:space="preserve">en el marco de </w:t>
      </w:r>
      <w:r w:rsidRPr="00AC37D2">
        <w:rPr>
          <w:rFonts w:ascii="Verdana" w:hAnsi="Verdana"/>
          <w:b/>
          <w:bCs/>
          <w:sz w:val="32"/>
          <w:szCs w:val="32"/>
        </w:rPr>
        <w:t>auditoría</w:t>
      </w:r>
      <w:r w:rsidRPr="00AC37D2">
        <w:rPr>
          <w:rFonts w:ascii="Verdana" w:hAnsi="Verdana"/>
          <w:b/>
          <w:bCs/>
          <w:sz w:val="32"/>
          <w:szCs w:val="32"/>
        </w:rPr>
        <w:t xml:space="preserve"> interna</w:t>
      </w:r>
      <w:r>
        <w:rPr>
          <w:rFonts w:ascii="Verdana" w:hAnsi="Verdana"/>
          <w:b/>
          <w:bCs/>
          <w:sz w:val="32"/>
          <w:szCs w:val="32"/>
        </w:rPr>
        <w:t xml:space="preserve">/ seguimiento. </w:t>
      </w:r>
    </w:p>
    <w:p w14:paraId="34AB6B55" w14:textId="77777777" w:rsidR="00AC37D2" w:rsidRDefault="00AC37D2" w:rsidP="00AC37D2">
      <w:pPr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69FF555B" w14:textId="01D3C7FA" w:rsidR="00AC37D2" w:rsidRPr="00AC37D2" w:rsidRDefault="00AC37D2" w:rsidP="00AC37D2">
      <w:pPr>
        <w:jc w:val="both"/>
        <w:rPr>
          <w:rFonts w:ascii="Verdana" w:hAnsi="Verdana"/>
          <w:b/>
          <w:bCs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Objetivo</w:t>
      </w:r>
    </w:p>
    <w:p w14:paraId="037A7F2B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sz w:val="24"/>
          <w:szCs w:val="24"/>
        </w:rPr>
        <w:t>Identificar riesgos, brechas y oportunidades en materia de género dentro del proceso auditado.</w:t>
      </w:r>
    </w:p>
    <w:p w14:paraId="0D6D58CF" w14:textId="2F41677C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</w:p>
    <w:p w14:paraId="65D9DB1E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1. ¿El área auditada cuenta con directrices, políticas o lineamientos formales de igualdad de género?</w:t>
      </w:r>
    </w:p>
    <w:p w14:paraId="71B8094D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</w:t>
      </w:r>
    </w:p>
    <w:p w14:paraId="778C586F" w14:textId="5206281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No</w:t>
      </w:r>
    </w:p>
    <w:p w14:paraId="5E2984DF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2. ¿Se desagregan los datos (usuarios/as, beneficiarios/as, personal) por sexo y/u otras variables de género?</w:t>
      </w:r>
    </w:p>
    <w:p w14:paraId="79DB443D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sistemáticamente</w:t>
      </w:r>
    </w:p>
    <w:p w14:paraId="6BD5C135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Parcialmente</w:t>
      </w:r>
    </w:p>
    <w:p w14:paraId="04E30680" w14:textId="5676DC36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No</w:t>
      </w:r>
    </w:p>
    <w:p w14:paraId="147D026B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3. ¿En el proceso auditado se han identificado brechas de género (acceso, participación, financiamiento, etc.)?</w:t>
      </w:r>
    </w:p>
    <w:p w14:paraId="1AD289E5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documentadas</w:t>
      </w:r>
    </w:p>
    <w:p w14:paraId="1A00E847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pero no documentadas</w:t>
      </w:r>
    </w:p>
    <w:p w14:paraId="1A471B79" w14:textId="382F0DA0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No</w:t>
      </w:r>
    </w:p>
    <w:p w14:paraId="34F5BEC5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4. ¿Existen acciones o medidas concretas para reducir desigualdades de género en el área evaluada?</w:t>
      </w:r>
    </w:p>
    <w:p w14:paraId="52A46A8A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implementadas</w:t>
      </w:r>
    </w:p>
    <w:p w14:paraId="0897FF99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En diseño/planificación</w:t>
      </w:r>
    </w:p>
    <w:p w14:paraId="4A354914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No</w:t>
      </w:r>
    </w:p>
    <w:p w14:paraId="79415C74" w14:textId="002A7B5C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</w:p>
    <w:p w14:paraId="5B84C653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lastRenderedPageBreak/>
        <w:t>5. ¿El personal del área ha recibido capacitación en género en los últimos 2 años?</w:t>
      </w:r>
    </w:p>
    <w:p w14:paraId="0FB9457B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la mayoría</w:t>
      </w:r>
    </w:p>
    <w:p w14:paraId="51AB45AA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algunos/as</w:t>
      </w:r>
    </w:p>
    <w:p w14:paraId="329C7DA0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No</w:t>
      </w:r>
    </w:p>
    <w:p w14:paraId="73E9A57B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6. ¿El proceso incorpora lenguaje inclusivo y no discriminatorio en documentos y comunicaciones oficiales?</w:t>
      </w:r>
    </w:p>
    <w:p w14:paraId="657E5E4F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 consistentemente</w:t>
      </w:r>
    </w:p>
    <w:p w14:paraId="3BF4FC01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Parcialmente</w:t>
      </w:r>
    </w:p>
    <w:p w14:paraId="40747D24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No</w:t>
      </w:r>
    </w:p>
    <w:p w14:paraId="065BE1AF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7. ¿Existen mecanismos para reportar o abordar situaciones de discriminación o violencia de género?</w:t>
      </w:r>
    </w:p>
    <w:p w14:paraId="0DED9FDD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formales y activos</w:t>
      </w:r>
    </w:p>
    <w:p w14:paraId="701A97FB" w14:textId="77777777" w:rsidR="00AC37D2" w:rsidRP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Sí, pero poco conocidos</w:t>
      </w:r>
    </w:p>
    <w:p w14:paraId="474568F3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  <w:r w:rsidRPr="00AC37D2">
        <w:rPr>
          <w:rFonts w:ascii="Segoe UI Symbol" w:hAnsi="Segoe UI Symbol" w:cs="Segoe UI Symbol"/>
          <w:sz w:val="24"/>
          <w:szCs w:val="24"/>
        </w:rPr>
        <w:t>☐</w:t>
      </w:r>
      <w:r w:rsidRPr="00AC37D2">
        <w:rPr>
          <w:rFonts w:ascii="Verdana" w:hAnsi="Verdana"/>
          <w:sz w:val="24"/>
          <w:szCs w:val="24"/>
        </w:rPr>
        <w:t xml:space="preserve"> No</w:t>
      </w:r>
    </w:p>
    <w:p w14:paraId="0965CE74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2A3D26AA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4ED4FA63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38186C58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77FF8672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42A1C2E0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57E4799C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52C2368A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18C9FBDA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1440A5B5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1CD6A417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51AC3DCD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4147966B" w14:textId="77777777" w:rsidR="00AC37D2" w:rsidRDefault="00AC37D2" w:rsidP="00AC37D2">
      <w:pPr>
        <w:ind w:left="720"/>
        <w:jc w:val="both"/>
        <w:rPr>
          <w:rFonts w:ascii="Verdana" w:hAnsi="Verdana"/>
          <w:sz w:val="24"/>
          <w:szCs w:val="24"/>
        </w:rPr>
      </w:pPr>
    </w:p>
    <w:p w14:paraId="1977D400" w14:textId="714329A3" w:rsidR="00AC37D2" w:rsidRPr="00AC37D2" w:rsidRDefault="00AC37D2" w:rsidP="00AC37D2">
      <w:pPr>
        <w:jc w:val="center"/>
        <w:rPr>
          <w:rFonts w:ascii="Verdana" w:hAnsi="Verdana"/>
          <w:b/>
          <w:bCs/>
          <w:sz w:val="32"/>
          <w:szCs w:val="32"/>
        </w:rPr>
      </w:pPr>
      <w:r w:rsidRPr="00AC37D2">
        <w:rPr>
          <w:rFonts w:ascii="Verdana" w:hAnsi="Verdana"/>
          <w:b/>
          <w:bCs/>
          <w:sz w:val="32"/>
          <w:szCs w:val="32"/>
        </w:rPr>
        <w:lastRenderedPageBreak/>
        <w:t>Sistema de tabulación simple</w:t>
      </w:r>
    </w:p>
    <w:p w14:paraId="315AA755" w14:textId="77777777" w:rsidR="00AC37D2" w:rsidRDefault="00AC37D2" w:rsidP="00AC37D2">
      <w:pPr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250CCDA8" w14:textId="366DE799" w:rsidR="00AC37D2" w:rsidRPr="00AC37D2" w:rsidRDefault="00AC37D2" w:rsidP="00AC37D2">
      <w:pPr>
        <w:jc w:val="both"/>
        <w:rPr>
          <w:rFonts w:ascii="Verdana" w:hAnsi="Verdana"/>
          <w:b/>
          <w:bCs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Asignación de puntajes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1"/>
        <w:gridCol w:w="2551"/>
      </w:tblGrid>
      <w:tr w:rsidR="00AC37D2" w:rsidRPr="00AC37D2" w14:paraId="408EDD14" w14:textId="77777777" w:rsidTr="00AC37D2">
        <w:trPr>
          <w:tblCellSpacing w:w="15" w:type="dxa"/>
        </w:trPr>
        <w:tc>
          <w:tcPr>
            <w:tcW w:w="6046" w:type="dxa"/>
            <w:shd w:val="clear" w:color="auto" w:fill="F5F5F5"/>
            <w:vAlign w:val="center"/>
            <w:hideMark/>
          </w:tcPr>
          <w:p w14:paraId="773A6EB5" w14:textId="77777777" w:rsidR="00AC37D2" w:rsidRPr="00AC37D2" w:rsidRDefault="00AC37D2" w:rsidP="00AC37D2">
            <w:pPr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AC37D2">
              <w:rPr>
                <w:rFonts w:ascii="Verdana" w:hAnsi="Verdana"/>
                <w:b/>
                <w:bCs/>
                <w:sz w:val="24"/>
                <w:szCs w:val="24"/>
              </w:rPr>
              <w:t>Tipo de respuesta</w:t>
            </w:r>
          </w:p>
        </w:tc>
        <w:tc>
          <w:tcPr>
            <w:tcW w:w="2506" w:type="dxa"/>
            <w:shd w:val="clear" w:color="auto" w:fill="F5F5F5"/>
            <w:vAlign w:val="center"/>
            <w:hideMark/>
          </w:tcPr>
          <w:p w14:paraId="17B61D4D" w14:textId="77777777" w:rsidR="00AC37D2" w:rsidRPr="00AC37D2" w:rsidRDefault="00AC37D2" w:rsidP="00AC37D2">
            <w:pPr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AC37D2">
              <w:rPr>
                <w:rFonts w:ascii="Verdana" w:hAnsi="Verdana"/>
                <w:b/>
                <w:bCs/>
                <w:sz w:val="24"/>
                <w:szCs w:val="24"/>
              </w:rPr>
              <w:t>Puntaje</w:t>
            </w:r>
          </w:p>
        </w:tc>
      </w:tr>
      <w:tr w:rsidR="00AC37D2" w:rsidRPr="00AC37D2" w14:paraId="7CD09114" w14:textId="77777777" w:rsidTr="00AC37D2">
        <w:trPr>
          <w:tblCellSpacing w:w="15" w:type="dxa"/>
        </w:trPr>
        <w:tc>
          <w:tcPr>
            <w:tcW w:w="6046" w:type="dxa"/>
            <w:vAlign w:val="center"/>
            <w:hideMark/>
          </w:tcPr>
          <w:p w14:paraId="43C41465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Respuesta positiva completa (Sí / sistemático)</w:t>
            </w:r>
          </w:p>
        </w:tc>
        <w:tc>
          <w:tcPr>
            <w:tcW w:w="2506" w:type="dxa"/>
            <w:vAlign w:val="center"/>
            <w:hideMark/>
          </w:tcPr>
          <w:p w14:paraId="544F2F25" w14:textId="77777777" w:rsidR="00AC37D2" w:rsidRPr="00AC37D2" w:rsidRDefault="00AC37D2" w:rsidP="00AC37D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2</w:t>
            </w:r>
          </w:p>
        </w:tc>
      </w:tr>
      <w:tr w:rsidR="00AC37D2" w:rsidRPr="00AC37D2" w14:paraId="6B3E67FE" w14:textId="77777777" w:rsidTr="00AC37D2">
        <w:trPr>
          <w:tblCellSpacing w:w="15" w:type="dxa"/>
        </w:trPr>
        <w:tc>
          <w:tcPr>
            <w:tcW w:w="6046" w:type="dxa"/>
            <w:vAlign w:val="center"/>
            <w:hideMark/>
          </w:tcPr>
          <w:p w14:paraId="685AA905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Intermedia (Parcial / en diseño / algunos)</w:t>
            </w:r>
          </w:p>
        </w:tc>
        <w:tc>
          <w:tcPr>
            <w:tcW w:w="2506" w:type="dxa"/>
            <w:vAlign w:val="center"/>
            <w:hideMark/>
          </w:tcPr>
          <w:p w14:paraId="79130F49" w14:textId="77777777" w:rsidR="00AC37D2" w:rsidRPr="00AC37D2" w:rsidRDefault="00AC37D2" w:rsidP="00AC37D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1</w:t>
            </w:r>
          </w:p>
        </w:tc>
      </w:tr>
      <w:tr w:rsidR="00AC37D2" w:rsidRPr="00AC37D2" w14:paraId="45C971A4" w14:textId="77777777" w:rsidTr="00AC37D2">
        <w:trPr>
          <w:tblCellSpacing w:w="15" w:type="dxa"/>
        </w:trPr>
        <w:tc>
          <w:tcPr>
            <w:tcW w:w="6046" w:type="dxa"/>
            <w:vAlign w:val="center"/>
            <w:hideMark/>
          </w:tcPr>
          <w:p w14:paraId="54285A82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Negativa (No)</w:t>
            </w:r>
          </w:p>
        </w:tc>
        <w:tc>
          <w:tcPr>
            <w:tcW w:w="2506" w:type="dxa"/>
            <w:vAlign w:val="center"/>
            <w:hideMark/>
          </w:tcPr>
          <w:p w14:paraId="2B2501F9" w14:textId="77777777" w:rsidR="00AC37D2" w:rsidRPr="00AC37D2" w:rsidRDefault="00AC37D2" w:rsidP="00AC37D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0</w:t>
            </w:r>
          </w:p>
        </w:tc>
      </w:tr>
    </w:tbl>
    <w:p w14:paraId="5C1985A8" w14:textId="678E46BD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</w:p>
    <w:p w14:paraId="5A295925" w14:textId="297B611A" w:rsidR="00AC37D2" w:rsidRDefault="00AC37D2" w:rsidP="00AC37D2">
      <w:pPr>
        <w:jc w:val="both"/>
        <w:rPr>
          <w:rFonts w:ascii="Verdana" w:hAnsi="Verdana"/>
          <w:b/>
          <w:bCs/>
          <w:sz w:val="24"/>
          <w:szCs w:val="24"/>
        </w:rPr>
      </w:pPr>
      <w:r w:rsidRPr="00AC37D2">
        <w:rPr>
          <w:rFonts w:ascii="Verdana" w:hAnsi="Verdana"/>
          <w:b/>
          <w:bCs/>
          <w:sz w:val="24"/>
          <w:szCs w:val="24"/>
        </w:rPr>
        <w:t>Interpretación de resultados</w:t>
      </w:r>
    </w:p>
    <w:p w14:paraId="7F4DB57B" w14:textId="77777777" w:rsidR="00AC37D2" w:rsidRPr="00AC37D2" w:rsidRDefault="00AC37D2" w:rsidP="00AC37D2">
      <w:pPr>
        <w:jc w:val="both"/>
        <w:rPr>
          <w:rFonts w:ascii="Verdana" w:hAnsi="Verdana"/>
          <w:sz w:val="24"/>
          <w:szCs w:val="24"/>
        </w:rPr>
      </w:pPr>
      <w:r w:rsidRPr="00AC37D2">
        <w:rPr>
          <w:rFonts w:ascii="Verdana" w:hAnsi="Verdana"/>
          <w:sz w:val="24"/>
          <w:szCs w:val="24"/>
        </w:rPr>
        <w:t>Puntaje total máximo: 14 puntos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1201"/>
        <w:gridCol w:w="6768"/>
      </w:tblGrid>
      <w:tr w:rsidR="00AC37D2" w:rsidRPr="00AC37D2" w14:paraId="361357CC" w14:textId="77777777" w:rsidTr="00AC37D2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338361A" w14:textId="77777777" w:rsidR="00AC37D2" w:rsidRPr="00AC37D2" w:rsidRDefault="00AC37D2" w:rsidP="00AC37D2">
            <w:pPr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AC37D2">
              <w:rPr>
                <w:rFonts w:ascii="Verdana" w:hAnsi="Verdana"/>
                <w:b/>
                <w:bCs/>
                <w:sz w:val="24"/>
                <w:szCs w:val="24"/>
              </w:rPr>
              <w:t>Rango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7E807E8D" w14:textId="77777777" w:rsidR="00AC37D2" w:rsidRPr="00AC37D2" w:rsidRDefault="00AC37D2" w:rsidP="00AC37D2">
            <w:pPr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AC37D2">
              <w:rPr>
                <w:rFonts w:ascii="Verdana" w:hAnsi="Verdana"/>
                <w:b/>
                <w:bCs/>
                <w:sz w:val="24"/>
                <w:szCs w:val="24"/>
              </w:rPr>
              <w:t>Nivel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2283D1C6" w14:textId="77777777" w:rsidR="00AC37D2" w:rsidRPr="00AC37D2" w:rsidRDefault="00AC37D2" w:rsidP="00AC37D2">
            <w:pPr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AC37D2">
              <w:rPr>
                <w:rFonts w:ascii="Verdana" w:hAnsi="Verdana"/>
                <w:b/>
                <w:bCs/>
                <w:sz w:val="24"/>
                <w:szCs w:val="24"/>
              </w:rPr>
              <w:t>Interpretación</w:t>
            </w:r>
          </w:p>
        </w:tc>
      </w:tr>
      <w:tr w:rsidR="00AC37D2" w:rsidRPr="00AC37D2" w14:paraId="7A5367B0" w14:textId="77777777" w:rsidTr="00AC37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1BEFCC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11 – 14</w:t>
            </w:r>
          </w:p>
        </w:tc>
        <w:tc>
          <w:tcPr>
            <w:tcW w:w="0" w:type="auto"/>
            <w:vAlign w:val="center"/>
            <w:hideMark/>
          </w:tcPr>
          <w:p w14:paraId="0DCB31EA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Segoe UI Emoji" w:hAnsi="Segoe UI Emoji" w:cs="Segoe UI Emoji"/>
                <w:sz w:val="24"/>
                <w:szCs w:val="24"/>
              </w:rPr>
              <w:t>🟢</w:t>
            </w:r>
            <w:r w:rsidRPr="00AC37D2">
              <w:rPr>
                <w:rFonts w:ascii="Verdana" w:hAnsi="Verdana"/>
                <w:sz w:val="24"/>
                <w:szCs w:val="24"/>
              </w:rPr>
              <w:t xml:space="preserve"> Alto</w:t>
            </w:r>
          </w:p>
        </w:tc>
        <w:tc>
          <w:tcPr>
            <w:tcW w:w="0" w:type="auto"/>
            <w:vAlign w:val="center"/>
            <w:hideMark/>
          </w:tcPr>
          <w:p w14:paraId="47469874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Buen nivel de integración de enfoque de género</w:t>
            </w:r>
          </w:p>
        </w:tc>
      </w:tr>
      <w:tr w:rsidR="00AC37D2" w:rsidRPr="00AC37D2" w14:paraId="3485B6C1" w14:textId="77777777" w:rsidTr="00AC37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BDCB10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6 – 10</w:t>
            </w:r>
          </w:p>
        </w:tc>
        <w:tc>
          <w:tcPr>
            <w:tcW w:w="0" w:type="auto"/>
            <w:vAlign w:val="center"/>
            <w:hideMark/>
          </w:tcPr>
          <w:p w14:paraId="48241607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Segoe UI Emoji" w:hAnsi="Segoe UI Emoji" w:cs="Segoe UI Emoji"/>
                <w:sz w:val="24"/>
                <w:szCs w:val="24"/>
              </w:rPr>
              <w:t>🟡</w:t>
            </w:r>
            <w:r w:rsidRPr="00AC37D2">
              <w:rPr>
                <w:rFonts w:ascii="Verdana" w:hAnsi="Verdana"/>
                <w:sz w:val="24"/>
                <w:szCs w:val="24"/>
              </w:rPr>
              <w:t xml:space="preserve"> Medio</w:t>
            </w:r>
          </w:p>
        </w:tc>
        <w:tc>
          <w:tcPr>
            <w:tcW w:w="0" w:type="auto"/>
            <w:vAlign w:val="center"/>
            <w:hideMark/>
          </w:tcPr>
          <w:p w14:paraId="2B6DF611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Existen avances, pero con brechas relevantes</w:t>
            </w:r>
          </w:p>
        </w:tc>
      </w:tr>
      <w:tr w:rsidR="00AC37D2" w:rsidRPr="00AC37D2" w14:paraId="20B209A7" w14:textId="77777777" w:rsidTr="00AC37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0D605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0 – 5</w:t>
            </w:r>
          </w:p>
        </w:tc>
        <w:tc>
          <w:tcPr>
            <w:tcW w:w="0" w:type="auto"/>
            <w:vAlign w:val="center"/>
            <w:hideMark/>
          </w:tcPr>
          <w:p w14:paraId="68DF315D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Segoe UI Emoji" w:hAnsi="Segoe UI Emoji" w:cs="Segoe UI Emoji"/>
                <w:sz w:val="24"/>
                <w:szCs w:val="24"/>
              </w:rPr>
              <w:t>🔴</w:t>
            </w:r>
            <w:r w:rsidRPr="00AC37D2">
              <w:rPr>
                <w:rFonts w:ascii="Verdana" w:hAnsi="Verdana"/>
                <w:sz w:val="24"/>
                <w:szCs w:val="24"/>
              </w:rPr>
              <w:t xml:space="preserve"> Bajo</w:t>
            </w:r>
          </w:p>
        </w:tc>
        <w:tc>
          <w:tcPr>
            <w:tcW w:w="0" w:type="auto"/>
            <w:vAlign w:val="center"/>
            <w:hideMark/>
          </w:tcPr>
          <w:p w14:paraId="5575BBCA" w14:textId="77777777" w:rsidR="00AC37D2" w:rsidRPr="00AC37D2" w:rsidRDefault="00AC37D2" w:rsidP="00AC37D2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C37D2">
              <w:rPr>
                <w:rFonts w:ascii="Verdana" w:hAnsi="Verdana"/>
                <w:sz w:val="24"/>
                <w:szCs w:val="24"/>
              </w:rPr>
              <w:t>Débil o inexistente incorporación de enfoque de género</w:t>
            </w:r>
          </w:p>
        </w:tc>
      </w:tr>
    </w:tbl>
    <w:p w14:paraId="34BF40A7" w14:textId="77777777" w:rsidR="003E659B" w:rsidRPr="00AC37D2" w:rsidRDefault="003E659B" w:rsidP="00AC37D2">
      <w:pPr>
        <w:jc w:val="both"/>
        <w:rPr>
          <w:rFonts w:ascii="Verdana" w:hAnsi="Verdana"/>
          <w:sz w:val="24"/>
          <w:szCs w:val="24"/>
        </w:rPr>
      </w:pPr>
    </w:p>
    <w:sectPr w:rsidR="003E659B" w:rsidRPr="00AC37D2" w:rsidSect="00AC37D2">
      <w:pgSz w:w="12240" w:h="15840"/>
      <w:pgMar w:top="1417" w:right="1608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30E"/>
    <w:multiLevelType w:val="multilevel"/>
    <w:tmpl w:val="C9CAF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80D4E"/>
    <w:multiLevelType w:val="multilevel"/>
    <w:tmpl w:val="543A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A6751C"/>
    <w:multiLevelType w:val="multilevel"/>
    <w:tmpl w:val="0196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DD7C80"/>
    <w:multiLevelType w:val="multilevel"/>
    <w:tmpl w:val="3862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D51E0"/>
    <w:multiLevelType w:val="multilevel"/>
    <w:tmpl w:val="6B343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4162A3"/>
    <w:multiLevelType w:val="multilevel"/>
    <w:tmpl w:val="87E8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136A1F"/>
    <w:multiLevelType w:val="multilevel"/>
    <w:tmpl w:val="E11CB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179480">
    <w:abstractNumId w:val="5"/>
  </w:num>
  <w:num w:numId="2" w16cid:durableId="1325476079">
    <w:abstractNumId w:val="2"/>
  </w:num>
  <w:num w:numId="3" w16cid:durableId="960036902">
    <w:abstractNumId w:val="0"/>
  </w:num>
  <w:num w:numId="4" w16cid:durableId="1666981287">
    <w:abstractNumId w:val="4"/>
  </w:num>
  <w:num w:numId="5" w16cid:durableId="1474831615">
    <w:abstractNumId w:val="3"/>
  </w:num>
  <w:num w:numId="6" w16cid:durableId="380717540">
    <w:abstractNumId w:val="1"/>
  </w:num>
  <w:num w:numId="7" w16cid:durableId="8649014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7D2"/>
    <w:rsid w:val="001B6A89"/>
    <w:rsid w:val="003E659B"/>
    <w:rsid w:val="00546148"/>
    <w:rsid w:val="00AC37D2"/>
    <w:rsid w:val="00B8171E"/>
    <w:rsid w:val="00C0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441C"/>
  <w15:chartTrackingRefBased/>
  <w15:docId w15:val="{A8AC0D1D-B175-4EFD-B5F7-578BC3928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37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37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37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37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37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37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37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37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37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37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37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37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37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37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37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37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37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37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37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37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37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37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37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37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37D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37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37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37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37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56f6f6-a4cb-4619-9869-18b0906e0981" xsi:nil="true"/>
    <Contenido xmlns="57c73dd0-5b45-4428-a631-9168dd112c2f" xsi:nil="true"/>
    <lcf76f155ced4ddcb4097134ff3c332f xmlns="57c73dd0-5b45-4428-a631-9168dd112c2f">
      <Terms xmlns="http://schemas.microsoft.com/office/infopath/2007/PartnerControls"/>
    </lcf76f155ced4ddcb4097134ff3c332f>
    <Valor xmlns="57c73dd0-5b45-4428-a631-9168dd112c2f">1</Valor>
  </documentManagement>
</p:properties>
</file>

<file path=customXml/itemProps1.xml><?xml version="1.0" encoding="utf-8"?>
<ds:datastoreItem xmlns:ds="http://schemas.openxmlformats.org/officeDocument/2006/customXml" ds:itemID="{AD6527AD-17B5-48AC-9CE0-A303641FAFF4}"/>
</file>

<file path=customXml/itemProps2.xml><?xml version="1.0" encoding="utf-8"?>
<ds:datastoreItem xmlns:ds="http://schemas.openxmlformats.org/officeDocument/2006/customXml" ds:itemID="{90FBA89F-BE54-4784-8C3E-710033B73700}"/>
</file>

<file path=customXml/itemProps3.xml><?xml version="1.0" encoding="utf-8"?>
<ds:datastoreItem xmlns:ds="http://schemas.openxmlformats.org/officeDocument/2006/customXml" ds:itemID="{4CF58D91-07DE-4B21-B443-6D061081E7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259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Garzón Ochoa</dc:creator>
  <cp:keywords/>
  <dc:description/>
  <cp:lastModifiedBy>Diana Carolina Garzón Ochoa</cp:lastModifiedBy>
  <cp:revision>1</cp:revision>
  <dcterms:created xsi:type="dcterms:W3CDTF">2026-06-12T19:21:00Z</dcterms:created>
  <dcterms:modified xsi:type="dcterms:W3CDTF">2026-06-12T19:25:00Z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</Properties>
</file>